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200"/>
        <w:jc w:val="center"/>
        <w:rPr>
          <w:rFonts w:ascii="Times New Roman" w:hAnsi="Times New Roman" w:eastAsia="Times New Roman" w:cs="Times New Roman"/>
          <w:b/>
          <w:sz w:val="24"/>
          <w:szCs w:val="24"/>
        </w:rPr>
      </w:pPr>
      <w:r>
        <w:rPr>
          <w:rFonts w:eastAsia="Times New Roman" w:cs="Times New Roman" w:ascii="Times New Roman" w:hAnsi="Times New Roman"/>
          <w:b/>
          <w:sz w:val="48"/>
          <w:szCs w:val="48"/>
        </w:rPr>
        <w:t>NON-DISCLOSURE AGREEMENT</w:t>
      </w:r>
      <w:r>
        <w:rPr>
          <w:rFonts w:eastAsia="Times New Roman" w:cs="Times New Roman" w:ascii="Times New Roman" w:hAnsi="Times New Roman"/>
          <w:b/>
          <w:sz w:val="24"/>
          <w:szCs w:val="24"/>
        </w:rPr>
        <w:t xml:space="preserve"> </w:t>
      </w:r>
    </w:p>
    <w:p>
      <w:pPr>
        <w:pStyle w:val="LO-normal"/>
        <w:spacing w:lineRule="auto" w:line="240" w:before="0" w:after="200"/>
        <w:jc w:val="both"/>
        <w:rPr>
          <w:rFonts w:ascii="Times New Roman" w:hAnsi="Times New Roman" w:eastAsia="Times New Roman" w:cs="Times New Roman"/>
          <w:b/>
          <w:sz w:val="24"/>
          <w:szCs w:val="24"/>
          <w:u w:val="single"/>
        </w:rPr>
      </w:pPr>
      <w:r>
        <w:rPr/>
      </w:r>
    </w:p>
    <w:p>
      <w:pPr>
        <w:pStyle w:val="LO-normal"/>
        <w:spacing w:lineRule="auto" w:line="240" w:before="0" w:after="20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PARTIES</w:t>
      </w:r>
    </w:p>
    <w:p>
      <w:pPr>
        <w:pStyle w:val="LO-normal"/>
        <w:keepNext w:val="false"/>
        <w:keepLines w:val="false"/>
        <w:widowControl/>
        <w:numPr>
          <w:ilvl w:val="0"/>
          <w:numId w:val="1"/>
        </w:numPr>
        <w:shd w:val="clear" w:fill="auto"/>
        <w:spacing w:lineRule="auto" w:line="259" w:before="0" w:after="200"/>
        <w:ind w:left="360" w:right="0" w:hanging="36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This Non-Disclosure Agreement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“Agreement”</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is entered into on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[Effective Date]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“Effective Date”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by and between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[Disclosing Party Name]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with an address of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[Disclosing Party Address]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“Disclosing Party”</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and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[Receiving Party Name]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with an address of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[Receiving Party Address]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“Receiving Party”</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(collectively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“Parties”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widowControl/>
        <w:numPr>
          <w:ilvl w:val="0"/>
          <w:numId w:val="0"/>
        </w:numPr>
        <w:shd w:val="clear" w:fill="auto"/>
        <w:spacing w:lineRule="auto" w:line="259" w:before="0" w:after="200"/>
        <w:ind w:left="36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p>
      <w:pPr>
        <w:pStyle w:val="LO-normal"/>
        <w:spacing w:lineRule="auto" w:line="240" w:before="0" w:after="20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CONFIDENTIAL INFORMATION</w:t>
      </w:r>
    </w:p>
    <w:p>
      <w:pPr>
        <w:pStyle w:val="LO-normal"/>
        <w:keepNext w:val="false"/>
        <w:keepLines w:val="false"/>
        <w:widowControl/>
        <w:numPr>
          <w:ilvl w:val="0"/>
          <w:numId w:val="1"/>
        </w:numPr>
        <w:shd w:val="clear" w:fill="auto"/>
        <w:spacing w:lineRule="auto" w:line="259" w:before="0" w:after="200"/>
        <w:ind w:left="360" w:right="0" w:hanging="360"/>
        <w:jc w:val="both"/>
        <w:rPr>
          <w:sz w:val="24"/>
          <w:szCs w:val="24"/>
        </w:rPr>
      </w:pPr>
      <w:r>
        <w:rPr>
          <w:rFonts w:eastAsia="Times New Roman" w:cs="Times New Roman" w:ascii="Times New Roman" w:hAnsi="Times New Roman"/>
          <w:sz w:val="24"/>
          <w:szCs w:val="24"/>
        </w:rPr>
        <w:t xml:space="preserve">The Receiving Party agrees not to disclose, copy, clone, or modify any confidential information related to the Disclosing Party and agrees not to use any such information without obtaining consent. </w:t>
      </w:r>
    </w:p>
    <w:p>
      <w:pPr>
        <w:pStyle w:val="LO-normal"/>
        <w:keepNext w:val="false"/>
        <w:keepLines w:val="false"/>
        <w:widowControl/>
        <w:numPr>
          <w:ilvl w:val="0"/>
          <w:numId w:val="1"/>
        </w:numPr>
        <w:shd w:val="clear" w:fill="auto"/>
        <w:spacing w:lineRule="auto" w:line="259"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Confidential information” refers to any data and/or information that is related to the Disclosing Party, in any form, including, but not limited to, oral or written. Such confidential information includes, but is not limited to, any information related to the business or industry of the Disclosing Party, such as discoveries, processes, techniques, programs, knowledge bases, customer lists, potential customers, business partners, affiliated</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partners, leads, </w:t>
      </w:r>
      <w:r>
        <w:rPr>
          <w:rFonts w:eastAsia="Times New Roman" w:cs="Times New Roman" w:ascii="Times New Roman" w:hAnsi="Times New Roman"/>
          <w:sz w:val="24"/>
          <w:szCs w:val="24"/>
        </w:rPr>
        <w:t>know-how, or any other services related to the Disclosing Party</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widowControl/>
        <w:numPr>
          <w:ilvl w:val="0"/>
          <w:numId w:val="0"/>
        </w:numPr>
        <w:shd w:val="clear" w:fill="auto"/>
        <w:spacing w:lineRule="auto" w:line="259" w:before="0" w:after="200"/>
        <w:ind w:left="360" w:right="0" w:hanging="0"/>
        <w:jc w:val="both"/>
        <w:rPr/>
      </w:pPr>
      <w:r>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RETURN OF CONFIDENTIAL INFORMATION</w:t>
      </w:r>
    </w:p>
    <w:p>
      <w:pPr>
        <w:pStyle w:val="LO-normal"/>
        <w:keepNext w:val="false"/>
        <w:keepLines w:val="false"/>
        <w:widowControl/>
        <w:numPr>
          <w:ilvl w:val="0"/>
          <w:numId w:val="1"/>
        </w:numPr>
        <w:shd w:val="clear" w:fill="auto"/>
        <w:spacing w:lineRule="auto" w:line="259" w:before="0" w:after="200"/>
        <w:ind w:left="360" w:right="0" w:hanging="360"/>
        <w:jc w:val="both"/>
        <w:rPr>
          <w:sz w:val="24"/>
          <w:szCs w:val="24"/>
        </w:rPr>
      </w:pPr>
      <w:r>
        <w:rPr>
          <w:rFonts w:eastAsia="Times New Roman" w:cs="Times New Roman" w:ascii="Times New Roman" w:hAnsi="Times New Roman"/>
          <w:sz w:val="24"/>
          <w:szCs w:val="24"/>
        </w:rPr>
        <w:t>The Receiving Party agrees to return all the confidential information to the Disclosing Party upon the termination of this Agreement.</w:t>
      </w:r>
    </w:p>
    <w:p>
      <w:pPr>
        <w:pStyle w:val="LO-normal"/>
        <w:widowControl/>
        <w:numPr>
          <w:ilvl w:val="0"/>
          <w:numId w:val="0"/>
        </w:numPr>
        <w:shd w:val="clear" w:fill="auto"/>
        <w:spacing w:lineRule="auto" w:line="259" w:before="0" w:after="200"/>
        <w:ind w:left="360" w:right="0" w:hanging="0"/>
        <w:jc w:val="both"/>
        <w:rPr/>
      </w:pPr>
      <w:r>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OWNERSHIP</w:t>
      </w:r>
    </w:p>
    <w:p>
      <w:pPr>
        <w:pStyle w:val="LO-normal"/>
        <w:keepNext w:val="false"/>
        <w:keepLines w:val="false"/>
        <w:widowControl/>
        <w:numPr>
          <w:ilvl w:val="0"/>
          <w:numId w:val="1"/>
        </w:numPr>
        <w:shd w:val="clear" w:fill="auto"/>
        <w:spacing w:lineRule="auto" w:line="259" w:before="0" w:after="200"/>
        <w:ind w:left="360" w:right="0" w:hanging="360"/>
        <w:jc w:val="both"/>
        <w:rPr>
          <w:sz w:val="24"/>
          <w:szCs w:val="24"/>
        </w:rPr>
      </w:pPr>
      <w:r>
        <w:rPr>
          <w:rFonts w:eastAsia="Times New Roman" w:cs="Times New Roman" w:ascii="Times New Roman" w:hAnsi="Times New Roman"/>
          <w:sz w:val="24"/>
          <w:szCs w:val="24"/>
        </w:rPr>
        <w:t>This Agreement is not transferable and may only be transferred by written consent provided by both Parties.</w:t>
      </w:r>
    </w:p>
    <w:p>
      <w:pPr>
        <w:pStyle w:val="LO-normal"/>
        <w:widowControl/>
        <w:numPr>
          <w:ilvl w:val="0"/>
          <w:numId w:val="0"/>
        </w:numPr>
        <w:shd w:val="clear" w:fill="auto"/>
        <w:spacing w:lineRule="auto" w:line="259" w:before="0" w:after="200"/>
        <w:ind w:left="360" w:right="0" w:hanging="0"/>
        <w:jc w:val="both"/>
        <w:rPr/>
      </w:pPr>
      <w:r>
        <w:rPr/>
      </w:r>
    </w:p>
    <w:p>
      <w:pPr>
        <w:pStyle w:val="LO-normal"/>
        <w:spacing w:lineRule="auto" w:line="240" w:before="0" w:after="20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GOVERNING LAW</w:t>
      </w:r>
    </w:p>
    <w:p>
      <w:pPr>
        <w:pStyle w:val="LO-normal"/>
        <w:keepNext w:val="false"/>
        <w:keepLines w:val="false"/>
        <w:widowControl/>
        <w:numPr>
          <w:ilvl w:val="0"/>
          <w:numId w:val="1"/>
        </w:numPr>
        <w:shd w:val="clear" w:fill="auto"/>
        <w:spacing w:lineRule="auto" w:line="259" w:before="0" w:after="200"/>
        <w:ind w:left="360" w:right="0" w:hanging="360"/>
        <w:jc w:val="both"/>
        <w:rPr>
          <w:sz w:val="24"/>
          <w:szCs w:val="24"/>
        </w:rPr>
      </w:pPr>
      <w:hyperlink r:id="rId2">
        <w:r>
          <w:rPr>
            <w:rFonts w:eastAsia="Times New Roman" w:cs="Times New Roman" w:ascii="Times New Roman" w:hAnsi="Times New Roman"/>
            <w:sz w:val="24"/>
            <w:szCs w:val="24"/>
          </w:rPr>
          <w:t>This Agreement</w:t>
        </w:r>
      </w:hyperlink>
      <w:r>
        <w:rPr>
          <w:rFonts w:eastAsia="Times New Roman" w:cs="Times New Roman" w:ascii="Times New Roman" w:hAnsi="Times New Roman"/>
          <w:sz w:val="24"/>
          <w:szCs w:val="24"/>
        </w:rPr>
        <w:t xml:space="preserve"> shall be governed by and construed in accordance with the laws of </w:t>
      </w:r>
      <w:r>
        <w:rPr>
          <w:rFonts w:eastAsia="Times New Roman" w:cs="Times New Roman" w:ascii="Times New Roman" w:hAnsi="Times New Roman"/>
          <w:sz w:val="24"/>
          <w:szCs w:val="24"/>
          <w:shd w:fill="FFFF00" w:val="clear"/>
        </w:rPr>
        <w:t>[</w:t>
      </w:r>
      <w:r>
        <w:rPr>
          <w:rFonts w:eastAsia="Times New Roman" w:cs="Times New Roman" w:ascii="Times New Roman" w:hAnsi="Times New Roman"/>
          <w:color w:val="000000"/>
          <w:kern w:val="0"/>
          <w:sz w:val="24"/>
          <w:szCs w:val="24"/>
          <w:shd w:fill="FFFF00" w:val="clear"/>
          <w:lang w:val="en-US" w:eastAsia="zh-CN" w:bidi="hi-IN"/>
        </w:rPr>
        <w:t>Governing Country</w:t>
      </w:r>
      <w:r>
        <w:rPr>
          <w:rFonts w:eastAsia="Times New Roman" w:cs="Times New Roman" w:ascii="Times New Roman" w:hAnsi="Times New Roman"/>
          <w:sz w:val="24"/>
          <w:szCs w:val="24"/>
          <w:shd w:fill="FFFF00" w:val="clear"/>
        </w:rPr>
        <w:t>]</w:t>
      </w:r>
      <w:r>
        <w:rPr>
          <w:rFonts w:eastAsia="Times New Roman" w:cs="Times New Roman" w:ascii="Times New Roman" w:hAnsi="Times New Roman"/>
          <w:sz w:val="24"/>
          <w:szCs w:val="24"/>
        </w:rPr>
        <w:t>.</w:t>
      </w:r>
    </w:p>
    <w:p>
      <w:pPr>
        <w:pStyle w:val="LO-normal"/>
        <w:widowControl/>
        <w:numPr>
          <w:ilvl w:val="0"/>
          <w:numId w:val="0"/>
        </w:numPr>
        <w:shd w:val="clear" w:fill="auto"/>
        <w:spacing w:lineRule="auto" w:line="259" w:before="0" w:after="200"/>
        <w:ind w:left="360" w:right="0" w:hanging="0"/>
        <w:jc w:val="both"/>
        <w:rPr/>
      </w:pPr>
      <w:r>
        <w:rPr/>
      </w:r>
    </w:p>
    <w:p>
      <w:pPr>
        <w:pStyle w:val="LO-normal"/>
        <w:spacing w:lineRule="auto" w:line="240" w:before="0" w:after="200"/>
        <w:rPr>
          <w:rFonts w:ascii="Times New Roman" w:hAnsi="Times New Roman" w:eastAsia="Times New Roman" w:cs="Times New Roman"/>
          <w:b/>
          <w:sz w:val="24"/>
          <w:szCs w:val="24"/>
          <w:u w:val="single"/>
        </w:rPr>
      </w:pPr>
      <w:r>
        <w:rPr/>
      </w:r>
      <w:r>
        <w:br w:type="page"/>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SIGNATURE AND DATE</w:t>
      </w:r>
    </w:p>
    <w:p>
      <w:pPr>
        <w:pStyle w:val="LO-normal"/>
        <w:keepNext w:val="false"/>
        <w:keepLines w:val="false"/>
        <w:widowControl/>
        <w:numPr>
          <w:ilvl w:val="0"/>
          <w:numId w:val="1"/>
        </w:numPr>
        <w:shd w:val="clear" w:fill="auto"/>
        <w:spacing w:lineRule="auto" w:line="259" w:before="0" w:after="200"/>
        <w:ind w:left="360" w:right="0" w:hanging="360"/>
        <w:jc w:val="both"/>
        <w:rPr>
          <w:sz w:val="24"/>
          <w:szCs w:val="24"/>
        </w:rPr>
      </w:pPr>
      <w:r>
        <w:rPr>
          <w:rFonts w:eastAsia="Times New Roman" w:cs="Times New Roman" w:ascii="Times New Roman" w:hAnsi="Times New Roman"/>
          <w:sz w:val="24"/>
          <w:szCs w:val="24"/>
        </w:rPr>
        <w:t>The Parties hereby agree to the terms and conditions set forth in this Agreement and such is demonstrated by their signatures below:</w:t>
      </w:r>
    </w:p>
    <w:p>
      <w:pPr>
        <w:pStyle w:val="LO-normal"/>
        <w:widowControl/>
        <w:numPr>
          <w:ilvl w:val="0"/>
          <w:numId w:val="0"/>
        </w:numPr>
        <w:shd w:val="clear" w:fill="auto"/>
        <w:spacing w:lineRule="auto" w:line="259" w:before="0" w:after="200"/>
        <w:ind w:left="360" w:right="0" w:hanging="0"/>
        <w:jc w:val="both"/>
        <w:rPr/>
      </w:pPr>
      <w:r>
        <w:rPr/>
      </w:r>
    </w:p>
    <w:tbl>
      <w:tblPr>
        <w:tblStyle w:val="Table1"/>
        <w:tblW w:w="9360" w:type="dxa"/>
        <w:jc w:val="left"/>
        <w:tblInd w:w="0" w:type="dxa"/>
        <w:tblLayout w:type="fixed"/>
        <w:tblCellMar>
          <w:top w:w="0" w:type="dxa"/>
          <w:left w:w="108" w:type="dxa"/>
          <w:bottom w:w="0" w:type="dxa"/>
          <w:right w:w="108" w:type="dxa"/>
        </w:tblCellMar>
        <w:tblLook w:val="0400"/>
      </w:tblPr>
      <w:tblGrid>
        <w:gridCol w:w="4700"/>
        <w:gridCol w:w="4659"/>
      </w:tblGrid>
      <w:tr>
        <w:trPr/>
        <w:tc>
          <w:tcPr>
            <w:tcW w:w="4700" w:type="dxa"/>
            <w:tcBorders/>
          </w:tcPr>
          <w:p>
            <w:pPr>
              <w:pStyle w:val="LO-normal"/>
              <w:widowControl w:val="false"/>
              <w:spacing w:lineRule="auto" w:line="240" w:before="0" w:after="20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DISCLOSING PARTY</w:t>
              <w:br/>
              <w:br/>
              <w:t>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Date:_____________________________</w:t>
            </w:r>
          </w:p>
        </w:tc>
        <w:tc>
          <w:tcPr>
            <w:tcW w:w="4659" w:type="dxa"/>
            <w:tcBorders/>
          </w:tcPr>
          <w:p>
            <w:pPr>
              <w:pStyle w:val="LO-normal"/>
              <w:widowControl w:val="false"/>
              <w:spacing w:lineRule="auto" w:line="240" w:before="0" w:after="20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RECEIVING PARTY</w:t>
              <w:br/>
              <w:br/>
              <w:t>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Date:_____________________________</w:t>
            </w:r>
          </w:p>
        </w:tc>
      </w:tr>
    </w:tbl>
    <w:p>
      <w:pPr>
        <w:pStyle w:val="LO-normal"/>
        <w:spacing w:lineRule="auto" w:line="240" w:before="0" w:after="200"/>
        <w:rPr>
          <w:rFonts w:ascii="Times New Roman" w:hAnsi="Times New Roman" w:eastAsia="Times New Roman" w:cs="Times New Roman"/>
          <w:sz w:val="24"/>
          <w:szCs w:val="24"/>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awinsider.com/clause/governing-law"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LibreOffice/7.5.1.2$MacOSX_X86_64 LibreOffice_project/fcbaee479e84c6cd81291587d2ee68cba099e129</Application>
  <AppVersion>15.0000</AppVersion>
  <Pages>2</Pages>
  <Words>273</Words>
  <Characters>1765</Characters>
  <CharactersWithSpaces>2015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2023-06-25T17:06:54Z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